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3D8" w:rsidRPr="00CE650B" w:rsidRDefault="006903D8" w:rsidP="006903D8">
      <w:pPr>
        <w:spacing w:after="0" w:line="240" w:lineRule="auto"/>
        <w:ind w:left="1440" w:firstLine="720"/>
        <w:rPr>
          <w:rFonts w:ascii="Arial" w:eastAsia="Times New Roman" w:hAnsi="Arial" w:cs="Times New Roman"/>
          <w:b/>
          <w:bCs/>
          <w:i/>
          <w:iCs/>
          <w:color w:val="000000"/>
          <w:sz w:val="28"/>
          <w:szCs w:val="24"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1"/>
        <w:gridCol w:w="19"/>
        <w:gridCol w:w="1493"/>
        <w:gridCol w:w="186"/>
        <w:gridCol w:w="778"/>
        <w:gridCol w:w="1714"/>
        <w:gridCol w:w="1542"/>
      </w:tblGrid>
      <w:tr w:rsidR="006903D8" w:rsidRPr="00CE650B" w:rsidTr="006F1B95">
        <w:trPr>
          <w:gridBefore w:val="2"/>
          <w:wBefore w:w="1600" w:type="dxa"/>
          <w:trHeight w:val="359"/>
          <w:jc w:val="center"/>
        </w:trPr>
        <w:tc>
          <w:tcPr>
            <w:tcW w:w="1679" w:type="dxa"/>
            <w:gridSpan w:val="2"/>
            <w:tcBorders>
              <w:top w:val="single" w:sz="4" w:space="0" w:color="auto"/>
              <w:left w:val="thinThickSmallGap" w:sz="12" w:space="0" w:color="FF9900"/>
              <w:bottom w:val="single" w:sz="4" w:space="0" w:color="auto"/>
              <w:right w:val="nil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color w:val="000000"/>
                <w:sz w:val="20"/>
                <w:szCs w:val="24"/>
                <w:lang w:val="sr-Latn-CS"/>
              </w:rPr>
            </w:pPr>
            <w:r w:rsidRPr="00CE650B">
              <w:rPr>
                <w:rFonts w:ascii="Arial" w:eastAsia="Times New Roman" w:hAnsi="Arial" w:cs="Times New Roman"/>
                <w:i/>
                <w:color w:val="800000"/>
                <w:sz w:val="16"/>
                <w:szCs w:val="24"/>
                <w:lang w:val="sr-Latn-CS"/>
              </w:rPr>
              <w:br w:type="page"/>
            </w:r>
            <w:r w:rsidRPr="00CE650B">
              <w:rPr>
                <w:rFonts w:ascii="Arial" w:eastAsia="Times New Roman" w:hAnsi="Arial" w:cs="Times New Roman"/>
                <w:b/>
                <w:i/>
                <w:color w:val="000000"/>
                <w:sz w:val="20"/>
                <w:szCs w:val="24"/>
                <w:lang w:val="sr-Latn-CS"/>
              </w:rPr>
              <w:t>Naziv predmeta: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FF9900"/>
            </w:tcBorders>
            <w:vAlign w:val="center"/>
          </w:tcPr>
          <w:p w:rsidR="006903D8" w:rsidRPr="00CE650B" w:rsidRDefault="006903D8" w:rsidP="006F1B95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</w:pPr>
            <w:r w:rsidRPr="00CE650B"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  <w:t>PRAVO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  <w:t xml:space="preserve"> ZA EKONOMISTE</w:t>
            </w:r>
          </w:p>
        </w:tc>
      </w:tr>
      <w:tr w:rsidR="006903D8" w:rsidRPr="00CE650B" w:rsidTr="006F1B95">
        <w:trPr>
          <w:trHeight w:val="291"/>
          <w:jc w:val="center"/>
        </w:trPr>
        <w:tc>
          <w:tcPr>
            <w:tcW w:w="1581" w:type="dxa"/>
            <w:tcBorders>
              <w:top w:val="thinThickSmallGap" w:sz="12" w:space="0" w:color="FF9900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ind w:left="-28" w:right="-30"/>
              <w:jc w:val="center"/>
              <w:rPr>
                <w:rFonts w:ascii="Arial" w:eastAsia="Times New Roman" w:hAnsi="Arial" w:cs="Times New Roman"/>
                <w:i/>
                <w:color w:val="000000"/>
                <w:sz w:val="18"/>
                <w:szCs w:val="24"/>
                <w:vertAlign w:val="superscript"/>
                <w:lang w:val="sr-Latn-CS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ind w:left="-130"/>
              <w:jc w:val="center"/>
              <w:rPr>
                <w:rFonts w:ascii="Arial" w:eastAsia="Times New Roman" w:hAnsi="Arial" w:cs="Times New Roman"/>
                <w:i/>
                <w:color w:val="000000"/>
                <w:sz w:val="18"/>
                <w:szCs w:val="24"/>
                <w:lang w:val="sr-Latn-CS"/>
              </w:rPr>
            </w:pPr>
            <w:r w:rsidRPr="00CE650B">
              <w:rPr>
                <w:rFonts w:ascii="Arial" w:eastAsia="Times New Roman" w:hAnsi="Arial" w:cs="Times New Roman"/>
                <w:b/>
                <w:i/>
                <w:color w:val="000000"/>
                <w:sz w:val="18"/>
                <w:szCs w:val="24"/>
                <w:lang w:val="sr-Latn-CS"/>
              </w:rPr>
              <w:t>Status predmeta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ind w:left="-130"/>
              <w:jc w:val="center"/>
              <w:rPr>
                <w:rFonts w:ascii="Arial" w:eastAsia="Times New Roman" w:hAnsi="Arial" w:cs="Times New Roman"/>
                <w:i/>
                <w:color w:val="000000"/>
                <w:sz w:val="18"/>
                <w:szCs w:val="24"/>
                <w:lang w:val="sr-Latn-CS"/>
              </w:rPr>
            </w:pPr>
            <w:r w:rsidRPr="00CE650B">
              <w:rPr>
                <w:rFonts w:ascii="Arial" w:eastAsia="Times New Roman" w:hAnsi="Arial" w:cs="Times New Roman"/>
                <w:b/>
                <w:i/>
                <w:color w:val="000000"/>
                <w:sz w:val="18"/>
                <w:szCs w:val="24"/>
                <w:lang w:val="sr-Latn-CS"/>
              </w:rPr>
              <w:t>Semestar</w:t>
            </w:r>
          </w:p>
        </w:tc>
        <w:tc>
          <w:tcPr>
            <w:tcW w:w="17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18"/>
                <w:szCs w:val="24"/>
                <w:lang w:val="sr-Latn-CS"/>
              </w:rPr>
            </w:pPr>
            <w:r w:rsidRPr="00CE650B">
              <w:rPr>
                <w:rFonts w:ascii="Arial" w:eastAsia="Times New Roman" w:hAnsi="Arial" w:cs="Times New Roman"/>
                <w:b/>
                <w:i/>
                <w:color w:val="000000"/>
                <w:sz w:val="18"/>
                <w:szCs w:val="24"/>
                <w:lang w:val="sr-Latn-CS"/>
              </w:rPr>
              <w:t>Broj ECTS kredita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thinThickSmallGap" w:sz="12" w:space="0" w:color="FF9900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sz w:val="18"/>
                <w:szCs w:val="24"/>
                <w:lang w:val="sr-Latn-CS"/>
              </w:rPr>
            </w:pPr>
            <w:r w:rsidRPr="00CE650B">
              <w:rPr>
                <w:rFonts w:ascii="Arial" w:eastAsia="Times New Roman" w:hAnsi="Arial" w:cs="Times New Roman"/>
                <w:b/>
                <w:i/>
                <w:color w:val="000000"/>
                <w:sz w:val="18"/>
                <w:szCs w:val="24"/>
                <w:lang w:val="sr-Latn-CS"/>
              </w:rPr>
              <w:t>Fond časova</w:t>
            </w:r>
          </w:p>
        </w:tc>
      </w:tr>
      <w:tr w:rsidR="006903D8" w:rsidRPr="00CE650B" w:rsidTr="006F1B95">
        <w:trPr>
          <w:trHeight w:val="373"/>
          <w:jc w:val="center"/>
        </w:trPr>
        <w:tc>
          <w:tcPr>
            <w:tcW w:w="1581" w:type="dxa"/>
            <w:vAlign w:val="center"/>
          </w:tcPr>
          <w:p w:rsidR="006903D8" w:rsidRPr="00CE650B" w:rsidRDefault="006903D8" w:rsidP="006F1B95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val="sr-Latn-CS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6903D8" w:rsidRPr="00CE650B" w:rsidRDefault="006903D8" w:rsidP="006F1B95">
            <w:pPr>
              <w:keepNext/>
              <w:spacing w:after="0" w:line="240" w:lineRule="auto"/>
              <w:ind w:left="12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sr-Latn-CS"/>
              </w:rPr>
            </w:pPr>
            <w:r w:rsidRPr="00CE650B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sr-Latn-CS"/>
              </w:rPr>
              <w:t>Obavezan</w:t>
            </w:r>
          </w:p>
        </w:tc>
        <w:tc>
          <w:tcPr>
            <w:tcW w:w="964" w:type="dxa"/>
            <w:gridSpan w:val="2"/>
            <w:vAlign w:val="center"/>
          </w:tcPr>
          <w:p w:rsidR="006903D8" w:rsidRPr="00CE650B" w:rsidRDefault="006903D8" w:rsidP="006F1B95">
            <w:pPr>
              <w:keepNext/>
              <w:spacing w:after="0" w:line="240" w:lineRule="auto"/>
              <w:ind w:left="12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sr-Latn-CS"/>
              </w:rPr>
            </w:pPr>
            <w:r w:rsidRPr="00CE650B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sr-Latn-CS"/>
              </w:rPr>
              <w:t>I</w:t>
            </w:r>
          </w:p>
        </w:tc>
        <w:tc>
          <w:tcPr>
            <w:tcW w:w="1714" w:type="dxa"/>
            <w:tcBorders>
              <w:right w:val="single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ind w:left="12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r-Latn-CS"/>
              </w:rPr>
              <w:t>4</w:t>
            </w:r>
          </w:p>
        </w:tc>
        <w:tc>
          <w:tcPr>
            <w:tcW w:w="1542" w:type="dxa"/>
            <w:tcBorders>
              <w:left w:val="single" w:sz="4" w:space="0" w:color="auto"/>
              <w:right w:val="thinThickSmallGap" w:sz="12" w:space="0" w:color="FF9900"/>
            </w:tcBorders>
            <w:vAlign w:val="center"/>
          </w:tcPr>
          <w:p w:rsidR="006903D8" w:rsidRPr="00CE650B" w:rsidRDefault="006903D8" w:rsidP="006F1B95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sr-Latn-CS"/>
              </w:rPr>
              <w:t>3P+1</w:t>
            </w:r>
            <w:r w:rsidRPr="00CE650B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sr-Latn-CS"/>
              </w:rPr>
              <w:t xml:space="preserve">V </w:t>
            </w:r>
          </w:p>
        </w:tc>
      </w:tr>
    </w:tbl>
    <w:p w:rsidR="006903D8" w:rsidRPr="00CE650B" w:rsidRDefault="006903D8" w:rsidP="006903D8">
      <w:pPr>
        <w:spacing w:after="0" w:line="240" w:lineRule="auto"/>
        <w:rPr>
          <w:rFonts w:ascii="Tahoma" w:eastAsia="Times New Roman" w:hAnsi="Tahoma" w:cs="Times New Roman"/>
          <w:sz w:val="28"/>
          <w:szCs w:val="24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24"/>
        <w:gridCol w:w="333"/>
        <w:gridCol w:w="1141"/>
        <w:gridCol w:w="1474"/>
        <w:gridCol w:w="1475"/>
        <w:gridCol w:w="1475"/>
        <w:gridCol w:w="1467"/>
      </w:tblGrid>
      <w:tr w:rsidR="006903D8" w:rsidRPr="00CE650B" w:rsidTr="006F1B95">
        <w:trPr>
          <w:trHeight w:val="440"/>
        </w:trPr>
        <w:tc>
          <w:tcPr>
            <w:tcW w:w="8856" w:type="dxa"/>
            <w:gridSpan w:val="8"/>
            <w:tcBorders>
              <w:bottom w:val="single" w:sz="4" w:space="0" w:color="auto"/>
            </w:tcBorders>
          </w:tcPr>
          <w:p w:rsidR="006903D8" w:rsidRPr="00CE650B" w:rsidRDefault="006903D8" w:rsidP="006F1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CE650B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sr-Latn-CS"/>
              </w:rPr>
              <w:t>Studijski programi za koje se organizuje:</w:t>
            </w:r>
          </w:p>
          <w:p w:rsidR="006903D8" w:rsidRPr="00CE650B" w:rsidRDefault="006903D8" w:rsidP="006F1B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l-SI"/>
              </w:rPr>
              <w:t>Osnovne akademske studije.</w:t>
            </w:r>
          </w:p>
        </w:tc>
      </w:tr>
      <w:tr w:rsidR="006903D8" w:rsidRPr="00CE650B" w:rsidTr="006F1B95">
        <w:trPr>
          <w:trHeight w:val="242"/>
        </w:trPr>
        <w:tc>
          <w:tcPr>
            <w:tcW w:w="8856" w:type="dxa"/>
            <w:gridSpan w:val="8"/>
            <w:tcBorders>
              <w:bottom w:val="single" w:sz="4" w:space="0" w:color="auto"/>
            </w:tcBorders>
          </w:tcPr>
          <w:p w:rsidR="006903D8" w:rsidRPr="00CE650B" w:rsidRDefault="006903D8" w:rsidP="006F1B95">
            <w:pPr>
              <w:spacing w:beforeAutospacing="1" w:after="0" w:afterAutospacing="1" w:line="240" w:lineRule="auto"/>
              <w:jc w:val="both"/>
              <w:rPr>
                <w:rFonts w:ascii="Arial" w:eastAsia="Arial Unicode MS" w:hAnsi="Arial" w:cs="Arial"/>
                <w:color w:val="800000"/>
                <w:sz w:val="16"/>
                <w:szCs w:val="16"/>
                <w:lang w:val="sr-Latn-CS"/>
              </w:rPr>
            </w:pPr>
            <w:r w:rsidRPr="00CE650B">
              <w:rPr>
                <w:rFonts w:ascii="Arial" w:eastAsia="Arial Unicode MS" w:hAnsi="Arial" w:cs="Arial"/>
                <w:b/>
                <w:i/>
                <w:sz w:val="16"/>
                <w:szCs w:val="16"/>
                <w:lang w:val="sr-Latn-CS"/>
              </w:rPr>
              <w:t>Ciljevi izučavanja predmeta:</w:t>
            </w:r>
            <w:r w:rsidRPr="00CE650B">
              <w:rPr>
                <w:rFonts w:ascii="Arial" w:eastAsia="Arial Unicode MS" w:hAnsi="Arial" w:cs="Arial"/>
                <w:color w:val="000000"/>
                <w:sz w:val="16"/>
                <w:szCs w:val="16"/>
                <w:lang w:val="sr-Latn-CS"/>
              </w:rPr>
              <w:t xml:space="preserve"> Upoznavanje studenata sa pojmom i strukturom državno-pravnog poretka. Osposobljavanje studenata u materiji prava neoph</w:t>
            </w:r>
            <w:r>
              <w:rPr>
                <w:rFonts w:ascii="Arial" w:eastAsia="Arial Unicode MS" w:hAnsi="Arial" w:cs="Arial"/>
                <w:color w:val="000000"/>
                <w:sz w:val="16"/>
                <w:szCs w:val="16"/>
                <w:lang w:val="sr-Latn-CS"/>
              </w:rPr>
              <w:t>odnoj za ekonomiste kao što su stvarno pravo, obligaciono pravo, pravo intelektualne svojine, kompanijsko pravo i p</w:t>
            </w:r>
            <w:r w:rsidRPr="00CE650B">
              <w:rPr>
                <w:rFonts w:ascii="Arial" w:eastAsia="Arial Unicode MS" w:hAnsi="Arial" w:cs="Arial"/>
                <w:color w:val="000000"/>
                <w:sz w:val="16"/>
                <w:szCs w:val="16"/>
                <w:lang w:val="sr-Latn-CS"/>
              </w:rPr>
              <w:t>ravo hartija od vrijednosti.</w:t>
            </w:r>
          </w:p>
        </w:tc>
      </w:tr>
      <w:tr w:rsidR="006903D8" w:rsidRPr="00CE650B" w:rsidTr="006F1B95">
        <w:trPr>
          <w:trHeight w:val="170"/>
        </w:trPr>
        <w:tc>
          <w:tcPr>
            <w:tcW w:w="8856" w:type="dxa"/>
            <w:gridSpan w:val="8"/>
            <w:tcBorders>
              <w:bottom w:val="single" w:sz="4" w:space="0" w:color="auto"/>
            </w:tcBorders>
          </w:tcPr>
          <w:p w:rsidR="006903D8" w:rsidRPr="00CE650B" w:rsidRDefault="006903D8" w:rsidP="006F1B95">
            <w:pPr>
              <w:spacing w:beforeAutospacing="1" w:after="0" w:afterAutospacing="1" w:line="240" w:lineRule="auto"/>
              <w:rPr>
                <w:rFonts w:ascii="Arial" w:eastAsia="Arial Unicode MS" w:hAnsi="Arial" w:cs="Arial"/>
                <w:b/>
                <w:color w:val="800000"/>
                <w:sz w:val="16"/>
                <w:szCs w:val="16"/>
                <w:lang w:val="hr-HR"/>
              </w:rPr>
            </w:pPr>
            <w:r w:rsidRPr="00CE650B">
              <w:rPr>
                <w:rFonts w:ascii="Arial" w:eastAsia="Arial Unicode MS" w:hAnsi="Arial" w:cs="Arial"/>
                <w:b/>
                <w:i/>
                <w:sz w:val="16"/>
                <w:szCs w:val="16"/>
                <w:lang w:val="sr-Latn-CS"/>
              </w:rPr>
              <w:t>Ime i prezime nastavnika i saradnika:</w:t>
            </w:r>
            <w:r w:rsidRPr="00CE650B">
              <w:rPr>
                <w:rFonts w:ascii="Arial" w:eastAsia="Arial Unicode MS" w:hAnsi="Arial" w:cs="Arial"/>
                <w:sz w:val="16"/>
                <w:szCs w:val="16"/>
                <w:lang w:val="hr-HR"/>
              </w:rPr>
              <w:t>, Dr Mijat Jocović</w:t>
            </w:r>
          </w:p>
        </w:tc>
      </w:tr>
      <w:tr w:rsidR="006903D8" w:rsidRPr="00CE650B" w:rsidTr="006F1B95">
        <w:trPr>
          <w:trHeight w:val="227"/>
        </w:trPr>
        <w:tc>
          <w:tcPr>
            <w:tcW w:w="8856" w:type="dxa"/>
            <w:gridSpan w:val="8"/>
            <w:tcBorders>
              <w:bottom w:val="single" w:sz="4" w:space="0" w:color="auto"/>
            </w:tcBorders>
          </w:tcPr>
          <w:p w:rsidR="006903D8" w:rsidRPr="00CE650B" w:rsidRDefault="006903D8" w:rsidP="006F1B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sr-Latn-CS"/>
              </w:rPr>
              <w:t>Metod nastave i savladanja gradiva:</w:t>
            </w:r>
            <w:r w:rsidRPr="00CE650B">
              <w:rPr>
                <w:rFonts w:ascii="Arial" w:eastAsia="Times New Roman" w:hAnsi="Arial" w:cs="Arial"/>
                <w:sz w:val="16"/>
                <w:szCs w:val="16"/>
                <w:lang w:val="sl-SI"/>
              </w:rPr>
              <w:t xml:space="preserve"> Predavanja, konsultacije, vježbe, seminarski radovi, završni ispit</w:t>
            </w:r>
          </w:p>
        </w:tc>
      </w:tr>
      <w:tr w:rsidR="006903D8" w:rsidRPr="00CE650B" w:rsidTr="006F1B95">
        <w:trPr>
          <w:cantSplit/>
          <w:trHeight w:val="162"/>
        </w:trPr>
        <w:tc>
          <w:tcPr>
            <w:tcW w:w="8856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903D8" w:rsidRPr="00CE650B" w:rsidRDefault="006903D8" w:rsidP="006F1B95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iCs/>
                <w:color w:val="000000"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sl-SI"/>
              </w:rPr>
              <w:t xml:space="preserve">PLAN RADA </w:t>
            </w:r>
          </w:p>
        </w:tc>
      </w:tr>
      <w:tr w:rsidR="006903D8" w:rsidRPr="00CE650B" w:rsidTr="006F1B95">
        <w:trPr>
          <w:cantSplit/>
          <w:trHeight w:val="140"/>
        </w:trPr>
        <w:tc>
          <w:tcPr>
            <w:tcW w:w="13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  <w:t xml:space="preserve">Nedjelja </w:t>
            </w:r>
          </w:p>
          <w:p w:rsidR="006903D8" w:rsidRPr="00CE650B" w:rsidRDefault="006903D8" w:rsidP="006F1B9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  <w:t>i datum</w:t>
            </w:r>
          </w:p>
        </w:tc>
        <w:tc>
          <w:tcPr>
            <w:tcW w:w="7489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val="sr-Latn-CS"/>
              </w:rPr>
            </w:pPr>
            <w:r w:rsidRPr="00CE650B">
              <w:rPr>
                <w:rFonts w:ascii="Arial" w:eastAsia="Times New Roman" w:hAnsi="Arial" w:cs="Arial"/>
                <w:i/>
                <w:sz w:val="16"/>
                <w:szCs w:val="16"/>
                <w:lang w:val="sr-Latn-CS"/>
              </w:rPr>
              <w:t>Naziv metodskih jedinica za predavanja(P), vježbe (V) i  ostale nastavne sadržaje (O); Planirani oblik  provjere znanja (Pz)</w:t>
            </w:r>
          </w:p>
        </w:tc>
      </w:tr>
      <w:tr w:rsidR="006903D8" w:rsidRPr="00CE650B" w:rsidTr="006F1B95">
        <w:trPr>
          <w:cantSplit/>
          <w:trHeight w:val="140"/>
        </w:trPr>
        <w:tc>
          <w:tcPr>
            <w:tcW w:w="1824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ind w:left="-108" w:right="-91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  <w:t>Pripremna nedjelja</w:t>
            </w:r>
          </w:p>
        </w:tc>
        <w:tc>
          <w:tcPr>
            <w:tcW w:w="7032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903D8" w:rsidRPr="0030227B" w:rsidRDefault="006903D8" w:rsidP="006F1B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 w:rsidRPr="0030227B">
              <w:rPr>
                <w:rFonts w:ascii="Arial" w:eastAsia="Times New Roman" w:hAnsi="Arial" w:cs="Arial"/>
                <w:sz w:val="16"/>
                <w:szCs w:val="16"/>
                <w:lang w:val="sr-Latn-CS"/>
              </w:rPr>
              <w:t>Upoznavanje, priprema i upis semestra.</w:t>
            </w:r>
          </w:p>
        </w:tc>
      </w:tr>
      <w:tr w:rsidR="006903D8" w:rsidRPr="00CE650B" w:rsidTr="006F1B95">
        <w:trPr>
          <w:cantSplit/>
          <w:trHeight w:val="140"/>
        </w:trPr>
        <w:tc>
          <w:tcPr>
            <w:tcW w:w="13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ind w:left="-25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sz w:val="16"/>
                <w:szCs w:val="16"/>
                <w:lang w:val="sl-SI"/>
              </w:rPr>
              <w:t>I nedelja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ind w:left="-108" w:right="-91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vertAlign w:val="superscript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  <w:t>P/V</w:t>
            </w:r>
          </w:p>
        </w:tc>
        <w:tc>
          <w:tcPr>
            <w:tcW w:w="7032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903D8" w:rsidRPr="0030227B" w:rsidRDefault="006903D8" w:rsidP="006F1B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sl-SI"/>
              </w:rPr>
            </w:pPr>
            <w:r w:rsidRPr="0030227B">
              <w:rPr>
                <w:rFonts w:ascii="Arial" w:eastAsia="Times New Roman" w:hAnsi="Arial" w:cs="Arial"/>
                <w:color w:val="000000"/>
                <w:sz w:val="16"/>
                <w:szCs w:val="16"/>
                <w:lang w:val="sl-SI"/>
              </w:rPr>
              <w:t>Osnovni pojmovi o državi i pravu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l-SI"/>
              </w:rPr>
              <w:t>.</w:t>
            </w:r>
            <w:r w:rsidRPr="0030227B">
              <w:rPr>
                <w:rFonts w:ascii="Arial" w:eastAsia="Times New Roman" w:hAnsi="Arial" w:cs="Arial"/>
                <w:color w:val="000000"/>
                <w:sz w:val="16"/>
                <w:szCs w:val="16"/>
                <w:lang w:val="sl-SI"/>
              </w:rPr>
              <w:t xml:space="preserve"> </w:t>
            </w:r>
            <w:r w:rsidRPr="0030227B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pojam i odnos države i prava, uloga države, ekonomske funkcije države i uloga prava, organizacija državne vlasti). Pravni poredak, </w:t>
            </w:r>
            <w:r w:rsidRPr="0030227B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>pravne norme, pravni akti, grane prava, pravne oblasti).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Primjeri iz prakse. </w:t>
            </w:r>
          </w:p>
        </w:tc>
      </w:tr>
      <w:tr w:rsidR="006903D8" w:rsidRPr="00CE650B" w:rsidTr="006F1B95">
        <w:trPr>
          <w:cantSplit/>
          <w:trHeight w:val="140"/>
        </w:trPr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ind w:left="-25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sz w:val="16"/>
                <w:szCs w:val="16"/>
                <w:lang w:val="sl-SI"/>
              </w:rPr>
              <w:t>II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ind w:left="-108" w:right="-91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  <w:t>P/V</w:t>
            </w:r>
          </w:p>
        </w:tc>
        <w:tc>
          <w:tcPr>
            <w:tcW w:w="703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3D8" w:rsidRPr="0030227B" w:rsidRDefault="006903D8" w:rsidP="006F1B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30227B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Subjekt</w:t>
            </w: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i prava (fizička i pravna lica). P</w:t>
            </w:r>
            <w:r w:rsidRPr="0030227B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ravna,</w:t>
            </w: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poslovna i deliktna sposobnost. Objekti prava. Pravni odnos, pravna činjenica, pravna radnja. Primjeri iz prakse. Analiza konkretnih pravnih akata i načina njihovog donošenja.</w:t>
            </w:r>
            <w:r w:rsidRPr="0030227B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</w:t>
            </w:r>
          </w:p>
        </w:tc>
      </w:tr>
      <w:tr w:rsidR="006903D8" w:rsidRPr="00CE650B" w:rsidTr="006F1B95">
        <w:trPr>
          <w:cantSplit/>
          <w:trHeight w:val="140"/>
        </w:trPr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ind w:left="-25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sz w:val="16"/>
                <w:szCs w:val="16"/>
                <w:lang w:val="sl-SI"/>
              </w:rPr>
              <w:t>III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ind w:left="-108" w:right="-91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  <w:t>P/V</w:t>
            </w:r>
          </w:p>
        </w:tc>
        <w:tc>
          <w:tcPr>
            <w:tcW w:w="703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3D8" w:rsidRPr="00E83366" w:rsidRDefault="00B31E75" w:rsidP="00B31E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 w:rsidRPr="00B31E75">
              <w:rPr>
                <w:rFonts w:ascii="Arial" w:eastAsia="Times New Roman" w:hAnsi="Arial" w:cs="Arial"/>
                <w:sz w:val="16"/>
                <w:szCs w:val="16"/>
                <w:lang w:val="sr-Latn-CS"/>
              </w:rPr>
              <w:t>Osnove kompanijskog prava. Pojam i vrste privrednih društava. Zajednička obilježja privrednih društava (cilj, registar, sjedište, zastupanje). Dužnosti lica prema društvu  - fiducijarna dužnost, dužnost pažnje, dužnost nekonkurencije, dužnost čuvanja poslovne tajne.</w:t>
            </w:r>
          </w:p>
        </w:tc>
      </w:tr>
      <w:tr w:rsidR="006903D8" w:rsidRPr="00CE650B" w:rsidTr="006F1B95">
        <w:trPr>
          <w:cantSplit/>
          <w:trHeight w:val="140"/>
        </w:trPr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ind w:left="-25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sz w:val="16"/>
                <w:szCs w:val="16"/>
                <w:lang w:val="sl-SI"/>
              </w:rPr>
              <w:t>IV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ind w:left="-108" w:right="-91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  <w:t>P/V</w:t>
            </w:r>
          </w:p>
        </w:tc>
        <w:tc>
          <w:tcPr>
            <w:tcW w:w="703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3D8" w:rsidRPr="00E83366" w:rsidRDefault="00B31E75" w:rsidP="006F1B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 w:rsidRPr="00B31E75">
              <w:rPr>
                <w:rFonts w:ascii="Arial" w:eastAsia="Times New Roman" w:hAnsi="Arial" w:cs="Arial"/>
                <w:sz w:val="16"/>
                <w:szCs w:val="16"/>
                <w:lang w:val="sr-Latn-CS"/>
              </w:rPr>
              <w:t>Forme obavljanja privredne djelatnosti – preduzetnik, ortačko društvo, komanditno društvo, društvo ograničene odgovornosti, djelovi stranih društava. Osnivanje privrednih društava kroz primjere iz prakse – simulacija osnivanja društva</w:t>
            </w:r>
          </w:p>
        </w:tc>
      </w:tr>
      <w:tr w:rsidR="006903D8" w:rsidRPr="00CE650B" w:rsidTr="006F1B95">
        <w:trPr>
          <w:cantSplit/>
          <w:trHeight w:val="140"/>
        </w:trPr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ind w:left="-25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sz w:val="16"/>
                <w:szCs w:val="16"/>
                <w:lang w:val="sl-SI"/>
              </w:rPr>
              <w:t>V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ind w:left="-108" w:right="-91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  <w:t>P/V</w:t>
            </w:r>
          </w:p>
        </w:tc>
        <w:tc>
          <w:tcPr>
            <w:tcW w:w="703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3D8" w:rsidRPr="0030227B" w:rsidRDefault="00B31E75" w:rsidP="006F1B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 w:rsidRPr="00B31E75">
              <w:rPr>
                <w:rFonts w:ascii="Arial" w:eastAsia="Times New Roman" w:hAnsi="Arial" w:cs="Arial"/>
                <w:sz w:val="16"/>
                <w:szCs w:val="16"/>
                <w:lang w:val="sl-SI"/>
              </w:rPr>
              <w:t>Akcionarsko društvo – pojam, karakteristike, organi društva. Osnivanje akcionarskog društava kroz primjere iz prakse – simulacija osnivanja društva.</w:t>
            </w:r>
          </w:p>
        </w:tc>
      </w:tr>
      <w:tr w:rsidR="006903D8" w:rsidRPr="00CE650B" w:rsidTr="006F1B95">
        <w:trPr>
          <w:cantSplit/>
          <w:trHeight w:val="140"/>
        </w:trPr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ind w:left="-25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sz w:val="16"/>
                <w:szCs w:val="16"/>
                <w:lang w:val="sl-SI"/>
              </w:rPr>
              <w:t>VI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03D8" w:rsidRPr="00CE650B" w:rsidRDefault="006903D8" w:rsidP="006F1B95">
            <w:pPr>
              <w:spacing w:after="0" w:line="240" w:lineRule="auto"/>
              <w:ind w:left="-108" w:right="-91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  <w:t>P/V</w:t>
            </w:r>
          </w:p>
        </w:tc>
        <w:tc>
          <w:tcPr>
            <w:tcW w:w="703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3D8" w:rsidRPr="0030227B" w:rsidRDefault="00B31E75" w:rsidP="006F1B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sl-SI"/>
              </w:rPr>
            </w:pPr>
            <w:r w:rsidRPr="00B31E75">
              <w:rPr>
                <w:rFonts w:ascii="Arial" w:eastAsia="Times New Roman" w:hAnsi="Arial" w:cs="Arial"/>
                <w:color w:val="000000"/>
                <w:sz w:val="16"/>
                <w:szCs w:val="16"/>
                <w:lang w:val="sl-SI"/>
              </w:rPr>
              <w:t>Stečaj i dobrovoljna likvidacija privrednih društava. Analiza slučajeva iz sudske prakse – akcenat na ekonomske posljedice sudskih sporova</w:t>
            </w:r>
          </w:p>
        </w:tc>
      </w:tr>
      <w:tr w:rsidR="00B31E75" w:rsidRPr="00CE650B" w:rsidTr="006F1B95">
        <w:trPr>
          <w:cantSplit/>
          <w:trHeight w:val="140"/>
        </w:trPr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1E75" w:rsidRPr="00CE650B" w:rsidRDefault="00B31E75" w:rsidP="00B31E75">
            <w:pPr>
              <w:spacing w:after="0" w:line="240" w:lineRule="auto"/>
              <w:ind w:left="-25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sz w:val="16"/>
                <w:szCs w:val="16"/>
                <w:lang w:val="sl-SI"/>
              </w:rPr>
              <w:t>VII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31E75" w:rsidRPr="00CE650B" w:rsidRDefault="00B31E75" w:rsidP="00B31E75">
            <w:pPr>
              <w:spacing w:after="0" w:line="240" w:lineRule="auto"/>
              <w:ind w:left="-108" w:right="-91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  <w:t>P/V</w:t>
            </w:r>
          </w:p>
        </w:tc>
        <w:tc>
          <w:tcPr>
            <w:tcW w:w="703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1E75" w:rsidRPr="00E83366" w:rsidRDefault="00B31E75" w:rsidP="00B31E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 w:rsidRPr="00B31E75">
              <w:rPr>
                <w:rFonts w:ascii="Arial" w:eastAsia="Times New Roman" w:hAnsi="Arial" w:cs="Arial"/>
                <w:sz w:val="16"/>
                <w:szCs w:val="16"/>
                <w:lang w:val="sr-Latn-CS"/>
              </w:rPr>
              <w:t xml:space="preserve">Pojam i vrste subjektivnih građanskih prava.Imovina. Državina – pojam, vrste, pravna zaštita. Debata i esej </w:t>
            </w:r>
            <w:r w:rsidRPr="00E83366">
              <w:rPr>
                <w:rFonts w:ascii="Arial" w:eastAsia="Times New Roman" w:hAnsi="Arial" w:cs="Arial"/>
                <w:sz w:val="16"/>
                <w:szCs w:val="16"/>
                <w:lang w:val="sr-Latn-CS"/>
              </w:rPr>
              <w:t>Osnove stvarnog prava. Pravo svojine – pojam, značaj, sticanje, zaštita, prestanak, posebni oblici svojine.</w:t>
            </w:r>
            <w:r w:rsidRPr="00E83366">
              <w:rPr>
                <w:rFonts w:ascii="Arial" w:hAnsi="Arial" w:cs="Arial"/>
                <w:sz w:val="16"/>
                <w:szCs w:val="16"/>
              </w:rPr>
              <w:t xml:space="preserve"> Analiza slučajeva iz sudske prakse – akcenat na ekonomske posljedice sudskih sporova</w:t>
            </w:r>
            <w:r w:rsidRPr="00E83366">
              <w:rPr>
                <w:sz w:val="16"/>
                <w:szCs w:val="16"/>
              </w:rPr>
              <w:t xml:space="preserve">. </w:t>
            </w:r>
          </w:p>
        </w:tc>
      </w:tr>
      <w:tr w:rsidR="00B31E75" w:rsidRPr="00CE650B" w:rsidTr="006F1B95">
        <w:trPr>
          <w:cantSplit/>
          <w:trHeight w:val="140"/>
        </w:trPr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1E75" w:rsidRPr="00CE650B" w:rsidRDefault="00B31E75" w:rsidP="00B31E75">
            <w:pPr>
              <w:spacing w:after="0" w:line="240" w:lineRule="auto"/>
              <w:ind w:left="-25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sz w:val="16"/>
                <w:szCs w:val="16"/>
                <w:lang w:val="sl-SI"/>
              </w:rPr>
              <w:t>VIII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31E75" w:rsidRPr="00CE650B" w:rsidRDefault="00B31E75" w:rsidP="00B31E75">
            <w:pPr>
              <w:spacing w:after="0" w:line="240" w:lineRule="auto"/>
              <w:ind w:left="-108" w:right="-91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  <w:t>P/V</w:t>
            </w:r>
          </w:p>
        </w:tc>
        <w:tc>
          <w:tcPr>
            <w:tcW w:w="703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1E75" w:rsidRPr="0030227B" w:rsidRDefault="00B31E75" w:rsidP="00B31E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 w:rsidRPr="0030227B">
              <w:rPr>
                <w:rFonts w:ascii="Arial" w:eastAsia="Times New Roman" w:hAnsi="Arial" w:cs="Arial"/>
                <w:sz w:val="16"/>
                <w:szCs w:val="16"/>
                <w:lang w:val="sr-Latn-CS"/>
              </w:rPr>
              <w:t>Osnove stvarnog prava. Službenosti i prava realnih garanacija (ručna zaloga, hipoteka i fiducija).</w:t>
            </w:r>
            <w: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sr-Latn-CS"/>
              </w:rPr>
              <w:t>Pravo intelektualne svojine. Debata i esej.</w:t>
            </w:r>
          </w:p>
        </w:tc>
      </w:tr>
      <w:tr w:rsidR="00B31E75" w:rsidRPr="00CE650B" w:rsidTr="006F1B95">
        <w:trPr>
          <w:cantSplit/>
          <w:trHeight w:val="140"/>
        </w:trPr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1E75" w:rsidRPr="00CE650B" w:rsidRDefault="00B31E75" w:rsidP="00B31E75">
            <w:pPr>
              <w:spacing w:after="0" w:line="240" w:lineRule="auto"/>
              <w:ind w:left="-25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sz w:val="16"/>
                <w:szCs w:val="16"/>
                <w:lang w:val="sl-SI"/>
              </w:rPr>
              <w:t>IX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31E75" w:rsidRPr="00CE650B" w:rsidRDefault="00B31E75" w:rsidP="00B31E75">
            <w:pPr>
              <w:spacing w:after="0" w:line="240" w:lineRule="auto"/>
              <w:ind w:left="-108" w:right="-91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  <w:t>P/V</w:t>
            </w:r>
          </w:p>
        </w:tc>
        <w:tc>
          <w:tcPr>
            <w:tcW w:w="703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1E75" w:rsidRPr="0030227B" w:rsidRDefault="00B31E75" w:rsidP="00B31E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 w:rsidRPr="00B31E75">
              <w:rPr>
                <w:rFonts w:ascii="Arial" w:eastAsia="Times New Roman" w:hAnsi="Arial" w:cs="Arial"/>
                <w:sz w:val="16"/>
                <w:szCs w:val="16"/>
                <w:lang w:val="sl-SI"/>
              </w:rPr>
              <w:t>Osnove obligacionog prava. Pojam, karakteristike, elementi obligacije.</w:t>
            </w:r>
            <w:r w:rsidRPr="00B31E7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B31E75">
              <w:rPr>
                <w:rFonts w:ascii="Arial" w:eastAsia="Times New Roman" w:hAnsi="Arial" w:cs="Arial"/>
                <w:sz w:val="16"/>
                <w:szCs w:val="16"/>
                <w:lang w:val="sl-SI"/>
              </w:rPr>
              <w:t>Izvori obligacija.</w:t>
            </w:r>
          </w:p>
        </w:tc>
      </w:tr>
      <w:tr w:rsidR="00B31E75" w:rsidRPr="00CE650B" w:rsidTr="006F1B95">
        <w:trPr>
          <w:cantSplit/>
          <w:trHeight w:val="140"/>
        </w:trPr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1E75" w:rsidRPr="00CE650B" w:rsidRDefault="00B31E75" w:rsidP="00B31E75">
            <w:pPr>
              <w:spacing w:after="0" w:line="240" w:lineRule="auto"/>
              <w:ind w:left="-25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sz w:val="16"/>
                <w:szCs w:val="16"/>
                <w:lang w:val="sl-SI"/>
              </w:rPr>
              <w:t>X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31E75" w:rsidRPr="00CE650B" w:rsidRDefault="00B31E75" w:rsidP="00B31E75">
            <w:pPr>
              <w:spacing w:after="0" w:line="240" w:lineRule="auto"/>
              <w:ind w:left="-108" w:right="-91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  <w:t>P/V</w:t>
            </w:r>
          </w:p>
        </w:tc>
        <w:tc>
          <w:tcPr>
            <w:tcW w:w="703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1E75" w:rsidRPr="0030227B" w:rsidRDefault="00B31E75" w:rsidP="00B31E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sl-SI"/>
              </w:rPr>
            </w:pPr>
            <w:r w:rsidRPr="00B31E75">
              <w:rPr>
                <w:rFonts w:ascii="Arial" w:eastAsia="Times New Roman" w:hAnsi="Arial" w:cs="Arial"/>
                <w:color w:val="FF0000"/>
                <w:sz w:val="16"/>
                <w:szCs w:val="16"/>
                <w:lang w:val="sl-SI"/>
              </w:rPr>
              <w:t xml:space="preserve">Kolokvijum. </w:t>
            </w:r>
          </w:p>
        </w:tc>
      </w:tr>
      <w:tr w:rsidR="00B31E75" w:rsidRPr="00CE650B" w:rsidTr="006F1B95">
        <w:trPr>
          <w:cantSplit/>
          <w:trHeight w:val="140"/>
        </w:trPr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1E75" w:rsidRPr="00CE650B" w:rsidRDefault="00B31E75" w:rsidP="00B31E75">
            <w:pPr>
              <w:spacing w:after="0" w:line="240" w:lineRule="auto"/>
              <w:ind w:left="-25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sz w:val="16"/>
                <w:szCs w:val="16"/>
                <w:lang w:val="sl-SI"/>
              </w:rPr>
              <w:t>XI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31E75" w:rsidRPr="00CE650B" w:rsidRDefault="00B31E75" w:rsidP="00B31E75">
            <w:pPr>
              <w:spacing w:after="0" w:line="240" w:lineRule="auto"/>
              <w:ind w:left="-108" w:right="-91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  <w:t>P/V</w:t>
            </w:r>
          </w:p>
        </w:tc>
        <w:tc>
          <w:tcPr>
            <w:tcW w:w="703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1E75" w:rsidRPr="0030227B" w:rsidRDefault="00B31E75" w:rsidP="00B31E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sl-SI"/>
              </w:rPr>
            </w:pPr>
            <w:r w:rsidRPr="00B31E75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>Ugovorno pravo. Pojam i značaj ugovora. Načela ugovornog prava. Opšti uslovi za zaključenje ugovora. Podjela ugovora.</w:t>
            </w:r>
            <w:r w:rsidRPr="00B31E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B31E75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>Analiza slučajeva iz sudske prakse – akcenat na ekonomske posljedice sudskih sporova.</w:t>
            </w:r>
          </w:p>
        </w:tc>
      </w:tr>
      <w:tr w:rsidR="00B31E75" w:rsidRPr="00CE650B" w:rsidTr="006F1B95">
        <w:trPr>
          <w:cantSplit/>
          <w:trHeight w:val="109"/>
        </w:trPr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1E75" w:rsidRPr="00CE650B" w:rsidRDefault="00B31E75" w:rsidP="00B31E75">
            <w:pPr>
              <w:spacing w:after="0" w:line="240" w:lineRule="auto"/>
              <w:ind w:left="-25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sz w:val="16"/>
                <w:szCs w:val="16"/>
                <w:lang w:val="sl-SI"/>
              </w:rPr>
              <w:t>XII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31E75" w:rsidRPr="00CE650B" w:rsidRDefault="00B31E75" w:rsidP="00B31E75">
            <w:pPr>
              <w:spacing w:after="0" w:line="240" w:lineRule="auto"/>
              <w:ind w:left="-108" w:right="-91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  <w:t>P/V</w:t>
            </w:r>
          </w:p>
        </w:tc>
        <w:tc>
          <w:tcPr>
            <w:tcW w:w="703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1E75" w:rsidRPr="0030227B" w:rsidRDefault="00B31E75" w:rsidP="00B31E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 w:rsidRPr="00B31E75">
              <w:rPr>
                <w:rFonts w:ascii="Arial" w:eastAsia="Times New Roman" w:hAnsi="Arial" w:cs="Arial"/>
                <w:sz w:val="16"/>
                <w:szCs w:val="16"/>
                <w:lang w:val="sl-SI"/>
              </w:rPr>
              <w:t>Ugovorno pravo. Tumačenje, dejstvo ugovora, i prestanak ugovora.</w:t>
            </w:r>
            <w:r w:rsidRPr="00B31E7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B31E75">
              <w:rPr>
                <w:rFonts w:ascii="Arial" w:eastAsia="Times New Roman" w:hAnsi="Arial" w:cs="Arial"/>
                <w:sz w:val="16"/>
                <w:szCs w:val="16"/>
                <w:lang w:val="sl-SI"/>
              </w:rPr>
              <w:t>Analiza slučajeva iz sudske prakse – akcenat na ekonomske posljedice sudskih sporova.</w:t>
            </w:r>
            <w:bookmarkStart w:id="0" w:name="_GoBack"/>
            <w:r w:rsidRPr="00B31E75">
              <w:rPr>
                <w:rFonts w:ascii="Arial" w:eastAsia="Times New Roman" w:hAnsi="Arial" w:cs="Arial"/>
                <w:color w:val="FF0000"/>
                <w:sz w:val="16"/>
                <w:szCs w:val="16"/>
                <w:lang w:val="sl-SI"/>
              </w:rPr>
              <w:t xml:space="preserve"> Popravni kolokvijum.</w:t>
            </w:r>
            <w:bookmarkEnd w:id="0"/>
          </w:p>
        </w:tc>
      </w:tr>
      <w:tr w:rsidR="00B31E75" w:rsidRPr="00CE650B" w:rsidTr="006F1B95">
        <w:trPr>
          <w:cantSplit/>
          <w:trHeight w:val="90"/>
        </w:trPr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1E75" w:rsidRPr="00CE650B" w:rsidRDefault="00B31E75" w:rsidP="00B31E75">
            <w:pPr>
              <w:spacing w:after="0" w:line="240" w:lineRule="auto"/>
              <w:ind w:left="-25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sz w:val="16"/>
                <w:szCs w:val="16"/>
                <w:lang w:val="sl-SI"/>
              </w:rPr>
              <w:t>XIII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31E75" w:rsidRPr="00CE650B" w:rsidRDefault="00B31E75" w:rsidP="00B31E75">
            <w:pPr>
              <w:spacing w:after="0" w:line="240" w:lineRule="auto"/>
              <w:ind w:left="-108" w:right="-91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  <w:t>P/V</w:t>
            </w:r>
          </w:p>
        </w:tc>
        <w:tc>
          <w:tcPr>
            <w:tcW w:w="703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1E75" w:rsidRPr="0030227B" w:rsidRDefault="00B31E75" w:rsidP="00B31E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sl-SI"/>
              </w:rPr>
            </w:pPr>
            <w:r w:rsidRPr="00B31E75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>Ugovorno pravo. Pojedini trgovački ugovori.</w:t>
            </w:r>
            <w:r w:rsidRPr="00B31E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B31E75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>Analiza slučajeva iz sudske prakse – akcenat na ekonomske posljedice sudskih sporova.</w:t>
            </w:r>
          </w:p>
        </w:tc>
      </w:tr>
      <w:tr w:rsidR="00B31E75" w:rsidRPr="00CE650B" w:rsidTr="006F1B95">
        <w:trPr>
          <w:cantSplit/>
          <w:trHeight w:val="177"/>
        </w:trPr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1E75" w:rsidRPr="00CE650B" w:rsidRDefault="00B31E75" w:rsidP="00B31E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sz w:val="16"/>
                <w:szCs w:val="16"/>
                <w:lang w:val="sl-SI"/>
              </w:rPr>
              <w:t>XIV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31E75" w:rsidRPr="00CE650B" w:rsidRDefault="00B31E75" w:rsidP="00B31E75">
            <w:pPr>
              <w:spacing w:after="0" w:line="240" w:lineRule="auto"/>
              <w:ind w:right="-91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  <w:t>P/V</w:t>
            </w:r>
          </w:p>
        </w:tc>
        <w:tc>
          <w:tcPr>
            <w:tcW w:w="703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1E75" w:rsidRPr="0030227B" w:rsidRDefault="00B31E75" w:rsidP="00B31E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 w:rsidRPr="00B31E75">
              <w:rPr>
                <w:rFonts w:ascii="Arial" w:eastAsia="Times New Roman" w:hAnsi="Arial" w:cs="Arial"/>
                <w:sz w:val="16"/>
                <w:szCs w:val="16"/>
                <w:lang w:val="sl-SI"/>
              </w:rPr>
              <w:t>Hartije od vrijednosti.</w:t>
            </w:r>
          </w:p>
        </w:tc>
      </w:tr>
      <w:tr w:rsidR="00B31E75" w:rsidRPr="00CE650B" w:rsidTr="006F1B95">
        <w:trPr>
          <w:cantSplit/>
          <w:trHeight w:val="140"/>
        </w:trPr>
        <w:tc>
          <w:tcPr>
            <w:tcW w:w="13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31E75" w:rsidRPr="00CE650B" w:rsidRDefault="00B31E75" w:rsidP="00B31E75">
            <w:pPr>
              <w:spacing w:after="0" w:line="240" w:lineRule="auto"/>
              <w:ind w:left="-25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sz w:val="16"/>
                <w:szCs w:val="16"/>
                <w:lang w:val="sl-SI"/>
              </w:rPr>
              <w:t>XV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31E75" w:rsidRPr="00CE650B" w:rsidRDefault="00B31E75" w:rsidP="00B31E75">
            <w:pPr>
              <w:spacing w:after="0" w:line="240" w:lineRule="auto"/>
              <w:ind w:left="-108" w:right="-91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i/>
                <w:sz w:val="16"/>
                <w:szCs w:val="16"/>
                <w:lang w:val="sl-SI"/>
              </w:rPr>
              <w:t>P/V</w:t>
            </w:r>
          </w:p>
        </w:tc>
        <w:tc>
          <w:tcPr>
            <w:tcW w:w="7032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31E75" w:rsidRPr="0030227B" w:rsidRDefault="00B31E75" w:rsidP="00B31E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sl-SI"/>
              </w:rPr>
            </w:pPr>
            <w:r w:rsidRPr="00B31E75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>Završni i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>spit.</w:t>
            </w:r>
          </w:p>
        </w:tc>
      </w:tr>
      <w:tr w:rsidR="00B31E75" w:rsidRPr="00CE650B" w:rsidTr="006F1B95">
        <w:trPr>
          <w:cantSplit/>
          <w:trHeight w:val="140"/>
        </w:trPr>
        <w:tc>
          <w:tcPr>
            <w:tcW w:w="182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1E75" w:rsidRPr="00CE650B" w:rsidRDefault="00B31E75" w:rsidP="00B31E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l-SI"/>
              </w:rPr>
            </w:pPr>
            <w:r w:rsidRPr="00B31E75">
              <w:rPr>
                <w:rFonts w:ascii="Arial" w:eastAsia="Times New Roman" w:hAnsi="Arial" w:cs="Arial"/>
                <w:b/>
                <w:sz w:val="16"/>
                <w:szCs w:val="16"/>
                <w:lang w:val="sl-SI"/>
              </w:rPr>
              <w:t>XV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sl-SI"/>
              </w:rPr>
              <w:t>I</w:t>
            </w:r>
          </w:p>
        </w:tc>
        <w:tc>
          <w:tcPr>
            <w:tcW w:w="703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1E75" w:rsidRPr="0030227B" w:rsidRDefault="00B31E75" w:rsidP="00B31E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 w:rsidRPr="0030227B">
              <w:rPr>
                <w:rFonts w:ascii="Arial" w:eastAsia="Times New Roman" w:hAnsi="Arial" w:cs="Arial"/>
                <w:sz w:val="16"/>
                <w:szCs w:val="16"/>
                <w:lang w:val="sr-Latn-CS"/>
              </w:rPr>
              <w:t>opravni završni ispit.</w:t>
            </w:r>
          </w:p>
        </w:tc>
      </w:tr>
      <w:tr w:rsidR="00B31E75" w:rsidRPr="00CE650B" w:rsidTr="006F1B95">
        <w:trPr>
          <w:cantSplit/>
          <w:trHeight w:val="300"/>
        </w:trPr>
        <w:tc>
          <w:tcPr>
            <w:tcW w:w="8856" w:type="dxa"/>
            <w:gridSpan w:val="8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1E75" w:rsidRPr="00CE650B" w:rsidRDefault="00B31E75" w:rsidP="00B31E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 w:rsidRPr="00CE650B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sl-SI"/>
              </w:rPr>
              <w:t xml:space="preserve">Obaveze studenta u toku nastave: </w:t>
            </w:r>
            <w:r w:rsidRPr="00CE650B">
              <w:rPr>
                <w:rFonts w:ascii="Arial" w:eastAsia="Times New Roman" w:hAnsi="Arial" w:cs="Arial"/>
                <w:color w:val="000000"/>
                <w:sz w:val="16"/>
                <w:szCs w:val="16"/>
                <w:lang w:val="sl-SI"/>
              </w:rPr>
              <w:t>Studenti su obavezni da pohađaju nastavu i rade kolokvijume.</w:t>
            </w:r>
          </w:p>
        </w:tc>
      </w:tr>
      <w:tr w:rsidR="00B31E75" w:rsidRPr="00CE650B" w:rsidTr="006F1B95">
        <w:trPr>
          <w:cantSplit/>
          <w:trHeight w:val="300"/>
        </w:trPr>
        <w:tc>
          <w:tcPr>
            <w:tcW w:w="8856" w:type="dxa"/>
            <w:gridSpan w:val="8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1E75" w:rsidRPr="00CE650B" w:rsidRDefault="00B31E75" w:rsidP="00B31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l-SI"/>
              </w:rPr>
            </w:pPr>
            <w:r w:rsidRPr="00CE650B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sl-SI"/>
              </w:rPr>
              <w:t>Konsultacije:</w:t>
            </w:r>
            <w:r>
              <w:rPr>
                <w:rFonts w:ascii="Arial" w:eastAsia="Times New Roman" w:hAnsi="Arial" w:cs="Arial"/>
                <w:sz w:val="16"/>
                <w:szCs w:val="16"/>
                <w:lang w:val="sl-SI"/>
              </w:rPr>
              <w:t xml:space="preserve"> Konsultacije: Srijeda od 8-11</w:t>
            </w:r>
            <w:r w:rsidRPr="00CE650B">
              <w:rPr>
                <w:rFonts w:ascii="Arial" w:eastAsia="Times New Roman" w:hAnsi="Arial" w:cs="Arial"/>
                <w:sz w:val="16"/>
                <w:szCs w:val="16"/>
                <w:lang w:val="sl-SI"/>
              </w:rPr>
              <w:t>h.</w:t>
            </w:r>
          </w:p>
        </w:tc>
      </w:tr>
      <w:tr w:rsidR="00B31E75" w:rsidRPr="00CE650B" w:rsidTr="006F1B95">
        <w:trPr>
          <w:cantSplit/>
          <w:trHeight w:val="411"/>
        </w:trPr>
        <w:tc>
          <w:tcPr>
            <w:tcW w:w="885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1E75" w:rsidRPr="00CE650B" w:rsidRDefault="00B31E75" w:rsidP="00B31E7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sr-Latn-CS"/>
              </w:rPr>
              <w:t>Ob</w:t>
            </w:r>
            <w:r w:rsidRPr="00CE650B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sr-Latn-CS"/>
              </w:rPr>
              <w:t>Literatura:</w:t>
            </w:r>
          </w:p>
          <w:p w:rsidR="00B31E75" w:rsidRDefault="00B31E75" w:rsidP="00B31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CE650B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>1. Dr Snežana Miladinović – “Pravo za ekonomiste” – Ekonomski fakultet, Podgorica, 2012.</w:t>
            </w:r>
          </w:p>
          <w:p w:rsidR="00B31E75" w:rsidRDefault="00B31E75" w:rsidP="00B31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</w:p>
          <w:p w:rsidR="00B31E75" w:rsidRDefault="00B31E75" w:rsidP="00B31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>Dodatna literatura:</w:t>
            </w:r>
          </w:p>
          <w:p w:rsidR="00B31E75" w:rsidRDefault="00B31E75" w:rsidP="00B31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</w:p>
          <w:p w:rsidR="00B31E75" w:rsidRDefault="00B31E75" w:rsidP="00B31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441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Jelena Perović, Međunarodno privredno pravo, Centar za izdavačku djelatnost Ekonomskog fakulteta u Beogradu, Beograd, 2011</w:t>
            </w:r>
          </w:p>
          <w:p w:rsidR="00B31E75" w:rsidRDefault="00B31E75" w:rsidP="00B31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Nebojša Jovanović, Mirjana Radović, Praktikum iz trgovinskog prava, Beograd, 2012.</w:t>
            </w:r>
          </w:p>
          <w:p w:rsidR="00B31E75" w:rsidRDefault="00B31E75" w:rsidP="00B31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A. Adams, Law for business students, Pearson Education Limited, 2010.</w:t>
            </w:r>
          </w:p>
          <w:p w:rsidR="00B31E75" w:rsidRPr="002D10F1" w:rsidRDefault="00B31E75" w:rsidP="00B31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C. Robert and T. Ulen, Law and Economics, Pearson,6th Edition, 2011.</w:t>
            </w:r>
          </w:p>
          <w:p w:rsidR="00B31E75" w:rsidRPr="00CE650B" w:rsidRDefault="00B31E75" w:rsidP="00B31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</w:p>
          <w:p w:rsidR="00B31E75" w:rsidRPr="00CE650B" w:rsidRDefault="00B31E75" w:rsidP="00B31E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l-SI"/>
              </w:rPr>
            </w:pPr>
          </w:p>
        </w:tc>
      </w:tr>
      <w:tr w:rsidR="00B31E75" w:rsidRPr="00CE650B" w:rsidTr="006F1B95">
        <w:trPr>
          <w:cantSplit/>
          <w:trHeight w:val="531"/>
        </w:trPr>
        <w:tc>
          <w:tcPr>
            <w:tcW w:w="8856" w:type="dxa"/>
            <w:gridSpan w:val="8"/>
            <w:tcBorders>
              <w:bottom w:val="dotted" w:sz="4" w:space="0" w:color="auto"/>
            </w:tcBorders>
          </w:tcPr>
          <w:p w:rsidR="00B31E75" w:rsidRPr="00CE650B" w:rsidRDefault="00B31E75" w:rsidP="00B31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CE650B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sr-Latn-CS"/>
              </w:rPr>
              <w:lastRenderedPageBreak/>
              <w:t>Oblici provjere znanja i ocjenjivanje:</w:t>
            </w:r>
            <w:r w:rsidRPr="00CE650B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Ocjenjuju se:</w:t>
            </w:r>
          </w:p>
          <w:p w:rsidR="00B31E75" w:rsidRPr="00CE650B" w:rsidRDefault="00B31E75" w:rsidP="00B31E7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CE650B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>Kolokvijum 45 poena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>.</w:t>
            </w:r>
          </w:p>
          <w:p w:rsidR="00B31E75" w:rsidRPr="00CE650B" w:rsidRDefault="00B31E75" w:rsidP="00B31E7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CE650B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>Aktivnosti na časovima (esej, debata, domaći zadaci) 5 poena.</w:t>
            </w:r>
          </w:p>
          <w:p w:rsidR="00B31E75" w:rsidRPr="00CE650B" w:rsidRDefault="00B31E75" w:rsidP="00B31E7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CE650B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Završni ispit 50  poena. </w:t>
            </w:r>
          </w:p>
          <w:p w:rsidR="00B31E75" w:rsidRPr="00CE650B" w:rsidRDefault="00B31E75" w:rsidP="00B31E7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sr-Latn-CS"/>
              </w:rPr>
            </w:pPr>
            <w:r w:rsidRPr="00CE650B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    Prelazna ocjena se dobija ako se kumulativno sakupi najmanje 50 poena.</w:t>
            </w:r>
          </w:p>
        </w:tc>
      </w:tr>
      <w:tr w:rsidR="00B31E75" w:rsidRPr="00CE650B" w:rsidTr="006F1B95">
        <w:trPr>
          <w:cantSplit/>
          <w:trHeight w:val="295"/>
        </w:trPr>
        <w:tc>
          <w:tcPr>
            <w:tcW w:w="149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31E75" w:rsidRPr="00CE650B" w:rsidRDefault="00B31E75" w:rsidP="00B31E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24"/>
                <w:lang w:val="sr-Latn-CS"/>
              </w:rPr>
            </w:pPr>
            <w:r w:rsidRPr="00CE65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24"/>
                <w:lang w:val="sr-Latn-CS"/>
              </w:rPr>
              <w:t>Ocjena</w:t>
            </w:r>
          </w:p>
        </w:tc>
        <w:tc>
          <w:tcPr>
            <w:tcW w:w="147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1E75" w:rsidRPr="00CE650B" w:rsidRDefault="00B31E75" w:rsidP="00B31E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</w:pPr>
            <w:r w:rsidRPr="00CE65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  <w:t>A</w:t>
            </w: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1E75" w:rsidRPr="00CE650B" w:rsidRDefault="00B31E75" w:rsidP="00B31E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</w:pPr>
            <w:r w:rsidRPr="00CE65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  <w:t>B</w:t>
            </w:r>
          </w:p>
        </w:tc>
        <w:tc>
          <w:tcPr>
            <w:tcW w:w="14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1E75" w:rsidRPr="00CE650B" w:rsidRDefault="00B31E75" w:rsidP="00B31E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</w:pPr>
            <w:r w:rsidRPr="00CE65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  <w:t>C</w:t>
            </w:r>
          </w:p>
        </w:tc>
        <w:tc>
          <w:tcPr>
            <w:tcW w:w="14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1E75" w:rsidRPr="00CE650B" w:rsidRDefault="00B31E75" w:rsidP="00B31E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</w:pPr>
            <w:r w:rsidRPr="00CE65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  <w:t>D</w:t>
            </w:r>
          </w:p>
        </w:tc>
        <w:tc>
          <w:tcPr>
            <w:tcW w:w="14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1E75" w:rsidRPr="00CE650B" w:rsidRDefault="00B31E75" w:rsidP="00B31E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</w:pPr>
            <w:r w:rsidRPr="00CE65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  <w:t>E</w:t>
            </w:r>
          </w:p>
        </w:tc>
      </w:tr>
      <w:tr w:rsidR="00B31E75" w:rsidRPr="00CE650B" w:rsidTr="006F1B95">
        <w:trPr>
          <w:cantSplit/>
          <w:trHeight w:val="295"/>
        </w:trPr>
        <w:tc>
          <w:tcPr>
            <w:tcW w:w="149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31E75" w:rsidRPr="00CE650B" w:rsidRDefault="00B31E75" w:rsidP="00B31E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24"/>
                <w:vertAlign w:val="superscript"/>
                <w:lang w:val="sr-Latn-CS"/>
              </w:rPr>
            </w:pPr>
            <w:r w:rsidRPr="00CE65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24"/>
                <w:lang w:val="sr-Latn-CS"/>
              </w:rPr>
              <w:t>Broj poena</w:t>
            </w:r>
          </w:p>
        </w:tc>
        <w:tc>
          <w:tcPr>
            <w:tcW w:w="147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B31E75" w:rsidRPr="00CE650B" w:rsidRDefault="00B31E75" w:rsidP="00B31E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</w:pPr>
            <w:r w:rsidRPr="00CE65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  <w:t>90-100</w:t>
            </w:r>
          </w:p>
        </w:tc>
        <w:tc>
          <w:tcPr>
            <w:tcW w:w="1474" w:type="dxa"/>
            <w:tcBorders>
              <w:top w:val="dotted" w:sz="4" w:space="0" w:color="auto"/>
              <w:bottom w:val="single" w:sz="4" w:space="0" w:color="auto"/>
            </w:tcBorders>
          </w:tcPr>
          <w:p w:rsidR="00B31E75" w:rsidRPr="00CE650B" w:rsidRDefault="00B31E75" w:rsidP="00B31E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</w:pPr>
            <w:r w:rsidRPr="00CE65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  <w:t>80-89</w:t>
            </w:r>
          </w:p>
        </w:tc>
        <w:tc>
          <w:tcPr>
            <w:tcW w:w="1475" w:type="dxa"/>
            <w:tcBorders>
              <w:top w:val="dotted" w:sz="4" w:space="0" w:color="auto"/>
              <w:bottom w:val="single" w:sz="4" w:space="0" w:color="auto"/>
            </w:tcBorders>
          </w:tcPr>
          <w:p w:rsidR="00B31E75" w:rsidRPr="00CE650B" w:rsidRDefault="00B31E75" w:rsidP="00B31E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</w:pPr>
            <w:r w:rsidRPr="00CE65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  <w:t>70-79</w:t>
            </w:r>
          </w:p>
        </w:tc>
        <w:tc>
          <w:tcPr>
            <w:tcW w:w="1475" w:type="dxa"/>
            <w:tcBorders>
              <w:top w:val="dotted" w:sz="4" w:space="0" w:color="auto"/>
              <w:bottom w:val="single" w:sz="4" w:space="0" w:color="auto"/>
            </w:tcBorders>
          </w:tcPr>
          <w:p w:rsidR="00B31E75" w:rsidRPr="00CE650B" w:rsidRDefault="00B31E75" w:rsidP="00B31E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</w:pPr>
            <w:r w:rsidRPr="00CE65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  <w:t>60-69</w:t>
            </w:r>
          </w:p>
        </w:tc>
        <w:tc>
          <w:tcPr>
            <w:tcW w:w="1467" w:type="dxa"/>
            <w:tcBorders>
              <w:top w:val="dotted" w:sz="4" w:space="0" w:color="auto"/>
              <w:bottom w:val="single" w:sz="4" w:space="0" w:color="auto"/>
            </w:tcBorders>
          </w:tcPr>
          <w:p w:rsidR="00B31E75" w:rsidRPr="00CE650B" w:rsidRDefault="00B31E75" w:rsidP="00B31E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</w:pPr>
            <w:r w:rsidRPr="00CE65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  <w:lang w:val="sr-Latn-CS"/>
              </w:rPr>
              <w:t>50-59</w:t>
            </w:r>
          </w:p>
        </w:tc>
      </w:tr>
    </w:tbl>
    <w:p w:rsidR="006903D8" w:rsidRDefault="006903D8" w:rsidP="006903D8">
      <w:pPr>
        <w:rPr>
          <w:rFonts w:ascii="Arial" w:eastAsia="Calibri" w:hAnsi="Arial" w:cs="Arial"/>
          <w:b/>
          <w:sz w:val="16"/>
          <w:szCs w:val="16"/>
        </w:rPr>
      </w:pPr>
    </w:p>
    <w:p w:rsidR="006903D8" w:rsidRPr="008C0642" w:rsidRDefault="006903D8" w:rsidP="006903D8">
      <w:pPr>
        <w:rPr>
          <w:rFonts w:ascii="Arial" w:eastAsia="Calibri" w:hAnsi="Arial" w:cs="Arial"/>
          <w:b/>
          <w:sz w:val="16"/>
          <w:szCs w:val="16"/>
        </w:rPr>
      </w:pPr>
      <w:r w:rsidRPr="008C0642">
        <w:rPr>
          <w:rFonts w:ascii="Arial" w:eastAsia="Calibri" w:hAnsi="Arial" w:cs="Arial"/>
          <w:b/>
          <w:sz w:val="16"/>
          <w:szCs w:val="16"/>
        </w:rPr>
        <w:t>ISHODI UČENJA:</w:t>
      </w:r>
    </w:p>
    <w:p w:rsidR="006903D8" w:rsidRPr="008C0642" w:rsidRDefault="006903D8" w:rsidP="006903D8">
      <w:pPr>
        <w:rPr>
          <w:rFonts w:ascii="Arial" w:eastAsia="Calibri" w:hAnsi="Arial" w:cs="Arial"/>
          <w:sz w:val="16"/>
          <w:szCs w:val="16"/>
        </w:rPr>
      </w:pPr>
      <w:r w:rsidRPr="008C0642">
        <w:rPr>
          <w:rFonts w:ascii="Arial" w:eastAsia="Calibri" w:hAnsi="Arial" w:cs="Arial"/>
          <w:sz w:val="16"/>
          <w:szCs w:val="16"/>
        </w:rPr>
        <w:t>Nakon što student položi ovaj ispit, biće u mogućnosti da:</w:t>
      </w:r>
    </w:p>
    <w:p w:rsidR="006903D8" w:rsidRPr="00D62719" w:rsidRDefault="006903D8" w:rsidP="006903D8">
      <w:pPr>
        <w:jc w:val="both"/>
        <w:rPr>
          <w:rFonts w:ascii="Arial" w:eastAsia="Calibri" w:hAnsi="Arial" w:cs="Arial"/>
          <w:sz w:val="16"/>
          <w:szCs w:val="16"/>
        </w:rPr>
      </w:pPr>
      <w:r w:rsidRPr="008C0642">
        <w:rPr>
          <w:rFonts w:ascii="Arial" w:eastAsia="Calibri" w:hAnsi="Arial" w:cs="Arial"/>
          <w:sz w:val="16"/>
          <w:szCs w:val="16"/>
        </w:rPr>
        <w:t>Opiše i objasni društveni sistem, pravni sistem i državno-pravni poredak; povezuje i razlikuje pravne norme, pravne akte, pravne institute i grane prava; opisuje i objašnjava osnovne institute obligacionog i privrednog prava; opisuje i objašnjava osnovne institute stvarnog prava; objašnjava i upoređuje osnovne forme obavljanja privredne djelatnosti; razlikuje hartije od vrijednosti od ostalih pisanih isprava i ukazuje na njihov značaj u poslovnim odnosima; samostalno sastavlja i razlikuje  osnovne ugovore obligacionog prava.</w:t>
      </w:r>
    </w:p>
    <w:p w:rsidR="006903D8" w:rsidRDefault="006903D8" w:rsidP="006903D8">
      <w:pPr>
        <w:rPr>
          <w:sz w:val="16"/>
          <w:szCs w:val="16"/>
        </w:rPr>
      </w:pPr>
    </w:p>
    <w:p w:rsidR="006903D8" w:rsidRPr="008C0642" w:rsidRDefault="006903D8" w:rsidP="006903D8">
      <w:pPr>
        <w:rPr>
          <w:sz w:val="16"/>
          <w:szCs w:val="16"/>
        </w:rPr>
      </w:pPr>
    </w:p>
    <w:p w:rsidR="00A64CCD" w:rsidRDefault="00A64CCD"/>
    <w:sectPr w:rsidR="00A64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C2AAD"/>
    <w:multiLevelType w:val="hybridMultilevel"/>
    <w:tmpl w:val="0D46799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C298B"/>
    <w:multiLevelType w:val="hybridMultilevel"/>
    <w:tmpl w:val="0E0C41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F5"/>
    <w:rsid w:val="00024DF5"/>
    <w:rsid w:val="00487F4B"/>
    <w:rsid w:val="006903D8"/>
    <w:rsid w:val="00A64CCD"/>
    <w:rsid w:val="00A74B9E"/>
    <w:rsid w:val="00B3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738F9A-84E8-4F26-B454-E353965B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3D8"/>
    <w:pPr>
      <w:spacing w:after="200" w:line="276" w:lineRule="auto"/>
    </w:pPr>
    <w:rPr>
      <w:lang w:val="sr-Latn-M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03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03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75"/>
    <w:rPr>
      <w:rFonts w:ascii="Segoe UI" w:hAnsi="Segoe UI" w:cs="Segoe UI"/>
      <w:sz w:val="18"/>
      <w:szCs w:val="18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Mijat Jocovic</cp:lastModifiedBy>
  <cp:revision>5</cp:revision>
  <cp:lastPrinted>2020-09-30T10:49:00Z</cp:lastPrinted>
  <dcterms:created xsi:type="dcterms:W3CDTF">2017-09-26T10:41:00Z</dcterms:created>
  <dcterms:modified xsi:type="dcterms:W3CDTF">2020-09-30T11:02:00Z</dcterms:modified>
</cp:coreProperties>
</file>